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0B" w:rsidRDefault="002A360B" w:rsidP="002A360B">
      <w:pPr>
        <w:jc w:val="center"/>
        <w:rPr>
          <w:rFonts w:ascii="Arial" w:hAnsi="Arial" w:cs="Arial"/>
          <w:sz w:val="24"/>
          <w:szCs w:val="24"/>
        </w:rPr>
      </w:pPr>
    </w:p>
    <w:p w:rsidR="000561B3" w:rsidRDefault="000561B3" w:rsidP="002A360B">
      <w:pPr>
        <w:jc w:val="center"/>
        <w:rPr>
          <w:rFonts w:ascii="Arial" w:hAnsi="Arial" w:cs="Arial"/>
          <w:sz w:val="24"/>
          <w:szCs w:val="24"/>
        </w:rPr>
      </w:pPr>
    </w:p>
    <w:p w:rsidR="000561B3" w:rsidRDefault="000561B3" w:rsidP="002A360B">
      <w:pPr>
        <w:jc w:val="center"/>
        <w:rPr>
          <w:rFonts w:ascii="Arial" w:hAnsi="Arial" w:cs="Arial"/>
          <w:sz w:val="24"/>
          <w:szCs w:val="24"/>
        </w:rPr>
      </w:pPr>
    </w:p>
    <w:p w:rsidR="000561B3" w:rsidRDefault="000561B3" w:rsidP="002A360B">
      <w:pPr>
        <w:jc w:val="center"/>
        <w:rPr>
          <w:rFonts w:ascii="Arial" w:hAnsi="Arial" w:cs="Arial"/>
          <w:sz w:val="24"/>
          <w:szCs w:val="24"/>
        </w:rPr>
      </w:pPr>
    </w:p>
    <w:p w:rsidR="000561B3" w:rsidRDefault="000561B3" w:rsidP="002A360B">
      <w:pPr>
        <w:jc w:val="center"/>
        <w:rPr>
          <w:rFonts w:ascii="Arial" w:hAnsi="Arial" w:cs="Arial"/>
          <w:sz w:val="24"/>
          <w:szCs w:val="24"/>
        </w:rPr>
      </w:pPr>
    </w:p>
    <w:p w:rsidR="000561B3" w:rsidRDefault="000561B3" w:rsidP="002A360B">
      <w:pPr>
        <w:jc w:val="center"/>
        <w:rPr>
          <w:rFonts w:ascii="Arial" w:hAnsi="Arial" w:cs="Arial"/>
          <w:sz w:val="24"/>
          <w:szCs w:val="24"/>
        </w:rPr>
      </w:pPr>
    </w:p>
    <w:p w:rsidR="002A360B" w:rsidRDefault="002A360B" w:rsidP="002A360B">
      <w:pPr>
        <w:jc w:val="center"/>
        <w:rPr>
          <w:rFonts w:ascii="Arial" w:hAnsi="Arial" w:cs="Arial"/>
          <w:sz w:val="24"/>
          <w:szCs w:val="24"/>
        </w:rPr>
      </w:pPr>
    </w:p>
    <w:p w:rsidR="002A360B" w:rsidRDefault="002A360B" w:rsidP="002A360B">
      <w:pPr>
        <w:jc w:val="center"/>
        <w:rPr>
          <w:rFonts w:ascii="Arial" w:hAnsi="Arial" w:cs="Arial"/>
          <w:sz w:val="24"/>
          <w:szCs w:val="24"/>
        </w:rPr>
      </w:pPr>
    </w:p>
    <w:p w:rsidR="002A360B" w:rsidRPr="000E2A47" w:rsidRDefault="002A360B" w:rsidP="002A360B">
      <w:pPr>
        <w:jc w:val="center"/>
        <w:rPr>
          <w:rFonts w:ascii="Arial" w:hAnsi="Arial" w:cs="Arial"/>
          <w:sz w:val="24"/>
          <w:szCs w:val="24"/>
        </w:rPr>
      </w:pPr>
      <w:r w:rsidRPr="000E2A47">
        <w:rPr>
          <w:rFonts w:ascii="Arial" w:hAnsi="Arial" w:cs="Arial"/>
          <w:sz w:val="24"/>
          <w:szCs w:val="24"/>
        </w:rPr>
        <w:t xml:space="preserve">COMISSÃO </w:t>
      </w:r>
      <w:r>
        <w:rPr>
          <w:rFonts w:ascii="Arial" w:hAnsi="Arial" w:cs="Arial"/>
          <w:sz w:val="24"/>
          <w:szCs w:val="24"/>
        </w:rPr>
        <w:t>GERAL DE PARECERES</w:t>
      </w:r>
    </w:p>
    <w:p w:rsidR="002A360B" w:rsidRPr="00AC21EF" w:rsidRDefault="002A360B" w:rsidP="002A360B">
      <w:pPr>
        <w:rPr>
          <w:rFonts w:ascii="Arial" w:hAnsi="Arial" w:cs="Arial"/>
        </w:rPr>
      </w:pPr>
      <w:r w:rsidRPr="00F772A8">
        <w:rPr>
          <w:rFonts w:ascii="Arial" w:hAnsi="Arial" w:cs="Arial"/>
          <w:sz w:val="24"/>
          <w:szCs w:val="24"/>
        </w:rPr>
        <w:t xml:space="preserve">                      </w:t>
      </w: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Parecer ao Projeto de Lei n°1.492 de 01 de abril</w:t>
      </w:r>
      <w:r w:rsidRPr="00A61AFE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A61AFE">
        <w:rPr>
          <w:rFonts w:ascii="Arial" w:hAnsi="Arial" w:cs="Arial"/>
        </w:rPr>
        <w:t xml:space="preserve">, originário do Poder Executivo que </w:t>
      </w:r>
      <w:r>
        <w:rPr>
          <w:rFonts w:ascii="Arial" w:hAnsi="Arial" w:cs="Arial"/>
        </w:rPr>
        <w:t>dispõe sobre a Política Municipal de Proteção aos Direitos da Criança e do Adolescente, cria o Conselho Municipal dos Direitos da Criança e do Adolescente, o Fundo Municipal dos Direitos da Criança e do Adolescente, o Sistema Municipal de Atendimento Socioeducativo e o Conselho Tutelar.</w:t>
      </w:r>
    </w:p>
    <w:p w:rsidR="002A360B" w:rsidRPr="00A61AFE" w:rsidRDefault="002A360B" w:rsidP="002A360B">
      <w:pPr>
        <w:rPr>
          <w:rFonts w:ascii="Arial" w:hAnsi="Arial" w:cs="Arial"/>
        </w:rPr>
      </w:pPr>
    </w:p>
    <w:p w:rsidR="002A360B" w:rsidRPr="00A61AFE" w:rsidRDefault="002A360B" w:rsidP="002A360B">
      <w:pPr>
        <w:rPr>
          <w:rFonts w:ascii="Arial" w:hAnsi="Arial" w:cs="Arial"/>
        </w:rPr>
      </w:pPr>
      <w:r w:rsidRPr="00A61AFE">
        <w:rPr>
          <w:rFonts w:ascii="Arial" w:hAnsi="Arial" w:cs="Arial"/>
        </w:rPr>
        <w:t xml:space="preserve"> I – Relatório</w:t>
      </w:r>
    </w:p>
    <w:p w:rsidR="002A360B" w:rsidRPr="00A61AFE" w:rsidRDefault="002A360B" w:rsidP="002A360B">
      <w:pPr>
        <w:rPr>
          <w:rFonts w:ascii="Arial" w:hAnsi="Arial" w:cs="Arial"/>
        </w:rPr>
      </w:pP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 xml:space="preserve">A Prefeita Municipal apresenta proposição que </w:t>
      </w:r>
      <w:r>
        <w:rPr>
          <w:rFonts w:ascii="Arial" w:hAnsi="Arial" w:cs="Arial"/>
        </w:rPr>
        <w:t>dispõe sobre a Política Municipal de Proteção aos Direitos da Criança e do Adolescente, cria o Conselho Municipal dos Direitos da Criança e do Adolescente, o Fundo Municipal dos Direitos da Criança e do Adolescente, o Sistema Municipal de Atendimento Socioeducativo e o Conselho Tutelar.</w:t>
      </w:r>
    </w:p>
    <w:p w:rsidR="002A360B" w:rsidRPr="00A61AFE" w:rsidRDefault="002A360B" w:rsidP="002A360B">
      <w:pPr>
        <w:ind w:firstLine="708"/>
        <w:rPr>
          <w:rFonts w:ascii="Arial" w:hAnsi="Arial" w:cs="Arial"/>
        </w:rPr>
      </w:pP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 xml:space="preserve">A presente Lei, do que se extrai de sua justificativa, </w:t>
      </w:r>
      <w:r>
        <w:rPr>
          <w:rFonts w:ascii="Arial" w:hAnsi="Arial" w:cs="Arial"/>
        </w:rPr>
        <w:t>se faz necessária para pequenas modificações, como no valor a ser recebido por cada conselheiro e não exigindo dedicação exclusiva, desde que não ocorra prejuízo no atendimento das situações inerentes ao cargo.</w:t>
      </w:r>
    </w:p>
    <w:p w:rsidR="002A360B" w:rsidRPr="00DB2939" w:rsidRDefault="002A360B" w:rsidP="002A360B">
      <w:pPr>
        <w:pStyle w:val="PargrafoNormal"/>
        <w:spacing w:after="0" w:line="240" w:lineRule="auto"/>
        <w:ind w:firstLine="0"/>
        <w:rPr>
          <w:sz w:val="22"/>
          <w:szCs w:val="22"/>
        </w:rPr>
      </w:pPr>
      <w:r w:rsidRPr="00A61AFE">
        <w:rPr>
          <w:sz w:val="22"/>
          <w:szCs w:val="22"/>
        </w:rPr>
        <w:t xml:space="preserve"> </w:t>
      </w:r>
    </w:p>
    <w:p w:rsidR="002A360B" w:rsidRPr="00A61AFE" w:rsidRDefault="002A360B" w:rsidP="002A360B">
      <w:pPr>
        <w:rPr>
          <w:rFonts w:ascii="Arial" w:hAnsi="Arial" w:cs="Arial"/>
        </w:rPr>
      </w:pPr>
      <w:r w:rsidRPr="00A61AFE">
        <w:rPr>
          <w:rFonts w:ascii="Arial" w:hAnsi="Arial" w:cs="Arial"/>
        </w:rPr>
        <w:t>II – Análise</w:t>
      </w:r>
    </w:p>
    <w:p w:rsidR="002A360B" w:rsidRPr="00A61AFE" w:rsidRDefault="002A360B" w:rsidP="002A360B">
      <w:pPr>
        <w:rPr>
          <w:rFonts w:ascii="Arial" w:hAnsi="Arial" w:cs="Arial"/>
        </w:rPr>
      </w:pP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>A matéria é de competência legislativa local e a legitimidade de sua iniciativa é do Poder Executivo, o que se extrai de sua análise.</w:t>
      </w: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 xml:space="preserve"> Quanto à técnica legislativa, a matéria mostra-se pronta para inserir-se no ordenamento jurídico municipal.</w:t>
      </w:r>
    </w:p>
    <w:p w:rsidR="002A360B" w:rsidRPr="00A61AFE" w:rsidRDefault="002A360B" w:rsidP="002A360B">
      <w:pPr>
        <w:rPr>
          <w:rFonts w:ascii="Arial" w:hAnsi="Arial" w:cs="Arial"/>
        </w:rPr>
      </w:pPr>
    </w:p>
    <w:p w:rsidR="002A360B" w:rsidRPr="00A61AFE" w:rsidRDefault="002A360B" w:rsidP="002A360B">
      <w:pPr>
        <w:rPr>
          <w:rFonts w:ascii="Arial" w:hAnsi="Arial" w:cs="Arial"/>
        </w:rPr>
      </w:pPr>
      <w:r w:rsidRPr="00A61AFE">
        <w:rPr>
          <w:rFonts w:ascii="Arial" w:hAnsi="Arial" w:cs="Arial"/>
        </w:rPr>
        <w:t>III – Voto</w:t>
      </w: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>Em face do exposto, o projeto reveste-se de boa forma constitucional legal, jurídico e de boa técnica legislativa e, podendo ter livre tramitação e votação.</w:t>
      </w:r>
    </w:p>
    <w:p w:rsidR="002A360B" w:rsidRPr="00A61AFE" w:rsidRDefault="002A360B" w:rsidP="002A360B">
      <w:pPr>
        <w:rPr>
          <w:rFonts w:ascii="Arial" w:hAnsi="Arial" w:cs="Arial"/>
        </w:rPr>
      </w:pPr>
    </w:p>
    <w:p w:rsidR="002A360B" w:rsidRPr="00A61AFE" w:rsidRDefault="002A360B" w:rsidP="002A360B">
      <w:pPr>
        <w:ind w:firstLine="708"/>
        <w:rPr>
          <w:rFonts w:ascii="Arial" w:hAnsi="Arial" w:cs="Arial"/>
        </w:rPr>
      </w:pPr>
      <w:r w:rsidRPr="00A61AFE">
        <w:rPr>
          <w:rFonts w:ascii="Arial" w:hAnsi="Arial" w:cs="Arial"/>
        </w:rPr>
        <w:t>Era o parecer.</w:t>
      </w:r>
    </w:p>
    <w:p w:rsidR="002A360B" w:rsidRPr="00A61AFE" w:rsidRDefault="002A360B" w:rsidP="002A360B">
      <w:pPr>
        <w:ind w:firstLine="708"/>
        <w:rPr>
          <w:rFonts w:ascii="Arial" w:hAnsi="Arial" w:cs="Arial"/>
        </w:rPr>
      </w:pPr>
    </w:p>
    <w:p w:rsidR="002A360B" w:rsidRPr="00A61AFE" w:rsidRDefault="002A360B" w:rsidP="002A360B">
      <w:pPr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Sala das Sessões, 06 de abril</w:t>
      </w:r>
      <w:r w:rsidRPr="00A61AFE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A61AFE">
        <w:rPr>
          <w:rFonts w:ascii="Arial" w:hAnsi="Arial" w:cs="Arial"/>
        </w:rPr>
        <w:t>.</w:t>
      </w:r>
    </w:p>
    <w:p w:rsidR="002A360B" w:rsidRDefault="002A360B" w:rsidP="002A360B">
      <w:pPr>
        <w:tabs>
          <w:tab w:val="left" w:pos="540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A360B" w:rsidRPr="000E2A47" w:rsidRDefault="002A360B" w:rsidP="002A360B">
      <w:pPr>
        <w:tabs>
          <w:tab w:val="left" w:pos="5400"/>
        </w:tabs>
        <w:rPr>
          <w:rFonts w:ascii="Arial" w:hAnsi="Arial" w:cs="Arial"/>
          <w:sz w:val="24"/>
          <w:szCs w:val="24"/>
        </w:rPr>
      </w:pPr>
    </w:p>
    <w:p w:rsidR="002A360B" w:rsidRDefault="002A360B" w:rsidP="002A360B">
      <w:pPr>
        <w:jc w:val="center"/>
      </w:pPr>
    </w:p>
    <w:p w:rsidR="002A360B" w:rsidRPr="00D74DD8" w:rsidRDefault="002A360B" w:rsidP="002A36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FRANCIELI CETTOLIN ABADI</w:t>
      </w:r>
      <w:r w:rsidRPr="00D74DD8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IVALDO PISSETTI</w:t>
      </w:r>
    </w:p>
    <w:p w:rsidR="002A360B" w:rsidRPr="00D74DD8" w:rsidRDefault="002A360B" w:rsidP="002A36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D74DD8">
        <w:rPr>
          <w:rFonts w:ascii="Arial" w:hAnsi="Arial" w:cs="Arial"/>
        </w:rPr>
        <w:t xml:space="preserve">Presidente                                     </w:t>
      </w:r>
      <w:r>
        <w:rPr>
          <w:rFonts w:ascii="Arial" w:hAnsi="Arial" w:cs="Arial"/>
        </w:rPr>
        <w:t xml:space="preserve">              </w:t>
      </w:r>
      <w:r w:rsidRPr="00D74DD8">
        <w:rPr>
          <w:rFonts w:ascii="Arial" w:hAnsi="Arial" w:cs="Arial"/>
        </w:rPr>
        <w:t xml:space="preserve"> Vice-presidente</w:t>
      </w:r>
    </w:p>
    <w:p w:rsidR="002A360B" w:rsidRPr="00D74DD8" w:rsidRDefault="002A360B" w:rsidP="002A360B">
      <w:pPr>
        <w:tabs>
          <w:tab w:val="left" w:pos="2850"/>
          <w:tab w:val="center" w:pos="4252"/>
        </w:tabs>
        <w:jc w:val="center"/>
        <w:rPr>
          <w:rFonts w:ascii="Arial" w:hAnsi="Arial" w:cs="Arial"/>
        </w:rPr>
      </w:pPr>
    </w:p>
    <w:p w:rsidR="002A360B" w:rsidRDefault="002A360B" w:rsidP="002A360B">
      <w:pPr>
        <w:tabs>
          <w:tab w:val="left" w:pos="2850"/>
          <w:tab w:val="center" w:pos="4252"/>
        </w:tabs>
        <w:jc w:val="center"/>
        <w:rPr>
          <w:rFonts w:ascii="Arial" w:hAnsi="Arial" w:cs="Arial"/>
        </w:rPr>
      </w:pPr>
    </w:p>
    <w:p w:rsidR="002A360B" w:rsidRPr="00D74DD8" w:rsidRDefault="002A360B" w:rsidP="002A360B">
      <w:pPr>
        <w:tabs>
          <w:tab w:val="left" w:pos="930"/>
          <w:tab w:val="left" w:pos="2850"/>
          <w:tab w:val="center" w:pos="42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EDU ALISON KELLER                                            GILNEI MEZACASA</w:t>
      </w:r>
    </w:p>
    <w:p w:rsidR="002A360B" w:rsidRDefault="002A360B" w:rsidP="002A360B">
      <w:pPr>
        <w:tabs>
          <w:tab w:val="left" w:pos="2850"/>
          <w:tab w:val="center" w:pos="4252"/>
        </w:tabs>
        <w:jc w:val="center"/>
        <w:rPr>
          <w:rFonts w:ascii="Arial" w:hAnsi="Arial" w:cs="Arial"/>
        </w:rPr>
      </w:pPr>
      <w:r w:rsidRPr="00D74DD8">
        <w:rPr>
          <w:rFonts w:ascii="Arial" w:hAnsi="Arial" w:cs="Arial"/>
        </w:rPr>
        <w:t>Relator</w:t>
      </w:r>
      <w:r>
        <w:rPr>
          <w:rFonts w:ascii="Arial" w:hAnsi="Arial" w:cs="Arial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</w:rPr>
        <w:t>R</w:t>
      </w:r>
      <w:r w:rsidRPr="00D74DD8">
        <w:rPr>
          <w:rFonts w:ascii="Arial" w:hAnsi="Arial" w:cs="Arial"/>
        </w:rPr>
        <w:t>elator</w:t>
      </w:r>
      <w:proofErr w:type="spellEnd"/>
    </w:p>
    <w:p w:rsidR="002A360B" w:rsidRPr="00D74DD8" w:rsidRDefault="002A360B" w:rsidP="000561B3">
      <w:pPr>
        <w:tabs>
          <w:tab w:val="left" w:pos="2850"/>
          <w:tab w:val="center" w:pos="4252"/>
        </w:tabs>
        <w:rPr>
          <w:rFonts w:ascii="Arial" w:hAnsi="Arial" w:cs="Arial"/>
        </w:rPr>
      </w:pPr>
    </w:p>
    <w:p w:rsidR="002A360B" w:rsidRPr="00D74DD8" w:rsidRDefault="002A360B" w:rsidP="002A360B">
      <w:pPr>
        <w:tabs>
          <w:tab w:val="left" w:pos="930"/>
          <w:tab w:val="left" w:pos="2850"/>
          <w:tab w:val="center" w:pos="42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MARCIO PILATTI</w:t>
      </w:r>
    </w:p>
    <w:p w:rsidR="00E85F33" w:rsidRDefault="002A360B" w:rsidP="000561B3">
      <w:pPr>
        <w:jc w:val="center"/>
      </w:pPr>
      <w:r w:rsidRPr="00D74DD8">
        <w:rPr>
          <w:rFonts w:ascii="Arial" w:hAnsi="Arial" w:cs="Arial"/>
        </w:rPr>
        <w:t>Relator</w:t>
      </w:r>
      <w:bookmarkStart w:id="0" w:name="_GoBack"/>
      <w:bookmarkEnd w:id="0"/>
    </w:p>
    <w:sectPr w:rsidR="00E85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B"/>
    <w:rsid w:val="000561B3"/>
    <w:rsid w:val="000D7056"/>
    <w:rsid w:val="001F55C9"/>
    <w:rsid w:val="002A360B"/>
    <w:rsid w:val="007433FE"/>
    <w:rsid w:val="00E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9CB9-63DA-4919-B783-DDC60FEB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0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Normal">
    <w:name w:val="Parágrafo Normal"/>
    <w:basedOn w:val="Normal"/>
    <w:rsid w:val="002A360B"/>
    <w:pPr>
      <w:spacing w:after="60" w:line="360" w:lineRule="auto"/>
      <w:ind w:firstLine="1418"/>
    </w:pPr>
    <w:rPr>
      <w:rFonts w:ascii="Arial" w:eastAsia="Times New Roman" w:hAnsi="Arial" w:cs="Arial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1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2022-04-06T21:00:00Z</cp:lastPrinted>
  <dcterms:created xsi:type="dcterms:W3CDTF">2022-04-06T16:53:00Z</dcterms:created>
  <dcterms:modified xsi:type="dcterms:W3CDTF">2022-04-06T21:21:00Z</dcterms:modified>
</cp:coreProperties>
</file>